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7E43" w14:textId="77777777" w:rsidR="00614E5C" w:rsidRPr="00614E5C" w:rsidRDefault="00614E5C" w:rsidP="00614E5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14:ligatures w14:val="none"/>
        </w:rPr>
      </w:pPr>
      <w:r w:rsidRPr="00614E5C">
        <w:rPr>
          <w:rFonts w:eastAsia="Times New Roman" w:cs="Times New Roman"/>
          <w:b/>
          <w:bCs/>
          <w:kern w:val="36"/>
          <w:sz w:val="48"/>
          <w:szCs w:val="48"/>
          <w14:ligatures w14:val="none"/>
        </w:rPr>
        <w:t>Return-to-Work Initiative: Cultural Impact &amp; Business Case</w:t>
      </w:r>
    </w:p>
    <w:p w14:paraId="3D9AAB3A" w14:textId="77777777" w:rsidR="00614E5C" w:rsidRPr="00614E5C" w:rsidRDefault="00614E5C" w:rsidP="00614E5C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Proposal for Leadership &amp; Stakeholders</w:t>
      </w:r>
    </w:p>
    <w:p w14:paraId="71A7B692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I. Executive Summary</w:t>
      </w:r>
    </w:p>
    <w:p w14:paraId="4A13EB76" w14:textId="77777777" w:rsidR="00614E5C" w:rsidRPr="00614E5C" w:rsidRDefault="00614E5C" w:rsidP="00614E5C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 xml:space="preserve">The shift back to in-office or hybrid work will significantly impact company culture, productivity, and employee engagement. This initiative outlines the potential </w:t>
      </w:r>
      <w:r w:rsidRPr="00614E5C">
        <w:rPr>
          <w:rFonts w:eastAsia="Times New Roman" w:cs="Times New Roman"/>
          <w:b/>
          <w:bCs/>
          <w:kern w:val="0"/>
          <w14:ligatures w14:val="none"/>
        </w:rPr>
        <w:t>positive and negative impacts</w:t>
      </w:r>
      <w:r w:rsidRPr="00614E5C">
        <w:rPr>
          <w:rFonts w:eastAsia="Times New Roman" w:cs="Times New Roman"/>
          <w:kern w:val="0"/>
          <w14:ligatures w14:val="none"/>
        </w:rPr>
        <w:t xml:space="preserve"> of returning to work, demonstrating how the transition can be optimized for maximum benefit while minimizing resistance and disruption.</w:t>
      </w:r>
    </w:p>
    <w:p w14:paraId="793CE169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pict w14:anchorId="2B9247E9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FA0674A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II. The Business Case for Returning to Work</w:t>
      </w:r>
    </w:p>
    <w:p w14:paraId="37A75C2C" w14:textId="21B107C5" w:rsidR="00614E5C" w:rsidRPr="00614E5C" w:rsidRDefault="00614E5C" w:rsidP="00614E5C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A. Why Return</w:t>
      </w:r>
      <w:r>
        <w:rPr>
          <w:rFonts w:eastAsia="Times New Roman" w:cs="Times New Roman"/>
          <w:b/>
          <w:bCs/>
          <w:kern w:val="0"/>
          <w14:ligatures w14:val="none"/>
        </w:rPr>
        <w:t>ing</w:t>
      </w:r>
      <w:r w:rsidRPr="00614E5C">
        <w:rPr>
          <w:rFonts w:eastAsia="Times New Roman" w:cs="Times New Roman"/>
          <w:b/>
          <w:bCs/>
          <w:kern w:val="0"/>
          <w14:ligatures w14:val="none"/>
        </w:rPr>
        <w:t xml:space="preserve"> to Work Matters</w:t>
      </w:r>
    </w:p>
    <w:p w14:paraId="2A87D91B" w14:textId="77777777" w:rsidR="00614E5C" w:rsidRPr="00614E5C" w:rsidRDefault="00614E5C" w:rsidP="00614E5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Reinforces Company Culture &amp; Collaboration</w:t>
      </w:r>
      <w:r w:rsidRPr="00614E5C">
        <w:rPr>
          <w:rFonts w:eastAsia="Times New Roman" w:cs="Times New Roman"/>
          <w:kern w:val="0"/>
          <w14:ligatures w14:val="none"/>
        </w:rPr>
        <w:t xml:space="preserve"> – In-person interactions strengthen relationships and team dynamics.</w:t>
      </w:r>
    </w:p>
    <w:p w14:paraId="38A0A179" w14:textId="77777777" w:rsidR="00614E5C" w:rsidRPr="00614E5C" w:rsidRDefault="00614E5C" w:rsidP="00614E5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Boosts Productivity &amp; Innovation</w:t>
      </w:r>
      <w:r w:rsidRPr="00614E5C">
        <w:rPr>
          <w:rFonts w:eastAsia="Times New Roman" w:cs="Times New Roman"/>
          <w:kern w:val="0"/>
          <w14:ligatures w14:val="none"/>
        </w:rPr>
        <w:t xml:space="preserve"> – Real-time discussions and brainstorming sessions drive creativity.</w:t>
      </w:r>
    </w:p>
    <w:p w14:paraId="055F6F6F" w14:textId="77777777" w:rsidR="00614E5C" w:rsidRPr="00614E5C" w:rsidRDefault="00614E5C" w:rsidP="00614E5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Strengthens Employee Development</w:t>
      </w:r>
      <w:r w:rsidRPr="00614E5C">
        <w:rPr>
          <w:rFonts w:eastAsia="Times New Roman" w:cs="Times New Roman"/>
          <w:kern w:val="0"/>
          <w14:ligatures w14:val="none"/>
        </w:rPr>
        <w:t xml:space="preserve"> – On-site mentorship and coaching improve career growth opportunities.</w:t>
      </w:r>
    </w:p>
    <w:p w14:paraId="3942ABF3" w14:textId="77777777" w:rsidR="00614E5C" w:rsidRPr="00614E5C" w:rsidRDefault="00614E5C" w:rsidP="00614E5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Enhances Client &amp; Partner Relations</w:t>
      </w:r>
      <w:r w:rsidRPr="00614E5C">
        <w:rPr>
          <w:rFonts w:eastAsia="Times New Roman" w:cs="Times New Roman"/>
          <w:kern w:val="0"/>
          <w14:ligatures w14:val="none"/>
        </w:rPr>
        <w:t xml:space="preserve"> – Physical presence fosters trust and deeper business relationships.</w:t>
      </w:r>
    </w:p>
    <w:p w14:paraId="4DCB4CB6" w14:textId="77777777" w:rsidR="00614E5C" w:rsidRPr="00614E5C" w:rsidRDefault="00614E5C" w:rsidP="00614E5C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B. Competitive Advantages of an In-Person or Hybrid Model</w:t>
      </w:r>
    </w:p>
    <w:p w14:paraId="0B4ACE3E" w14:textId="77777777" w:rsidR="00614E5C" w:rsidRPr="00614E5C" w:rsidRDefault="00614E5C" w:rsidP="00614E5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Increased Engagement &amp; Accountability</w:t>
      </w:r>
      <w:r w:rsidRPr="00614E5C">
        <w:rPr>
          <w:rFonts w:eastAsia="Times New Roman" w:cs="Times New Roman"/>
          <w:kern w:val="0"/>
          <w14:ligatures w14:val="none"/>
        </w:rPr>
        <w:t xml:space="preserve"> – Employees feel more connected and committed.</w:t>
      </w:r>
    </w:p>
    <w:p w14:paraId="4FD6D81F" w14:textId="77777777" w:rsidR="00614E5C" w:rsidRPr="00614E5C" w:rsidRDefault="00614E5C" w:rsidP="00614E5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Improved Knowledge Sharing</w:t>
      </w:r>
      <w:r w:rsidRPr="00614E5C">
        <w:rPr>
          <w:rFonts w:eastAsia="Times New Roman" w:cs="Times New Roman"/>
          <w:kern w:val="0"/>
          <w14:ligatures w14:val="none"/>
        </w:rPr>
        <w:t xml:space="preserve"> – Informal learning opportunities enhance skills and efficiency.</w:t>
      </w:r>
    </w:p>
    <w:p w14:paraId="002DEE90" w14:textId="77777777" w:rsidR="00614E5C" w:rsidRPr="00614E5C" w:rsidRDefault="00614E5C" w:rsidP="00614E5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Better Work-Life Separation</w:t>
      </w:r>
      <w:r w:rsidRPr="00614E5C">
        <w:rPr>
          <w:rFonts w:eastAsia="Times New Roman" w:cs="Times New Roman"/>
          <w:kern w:val="0"/>
          <w14:ligatures w14:val="none"/>
        </w:rPr>
        <w:t xml:space="preserve"> – Clearer boundaries reduce burnout and improve mental well-being.</w:t>
      </w:r>
    </w:p>
    <w:p w14:paraId="7D25C0DB" w14:textId="77777777" w:rsidR="00614E5C" w:rsidRPr="00614E5C" w:rsidRDefault="00614E5C" w:rsidP="00614E5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Talent Attraction &amp; Retention</w:t>
      </w:r>
      <w:r w:rsidRPr="00614E5C">
        <w:rPr>
          <w:rFonts w:eastAsia="Times New Roman" w:cs="Times New Roman"/>
          <w:kern w:val="0"/>
          <w14:ligatures w14:val="none"/>
        </w:rPr>
        <w:t xml:space="preserve"> – A structured return plan can differentiate the company from competitors.</w:t>
      </w:r>
    </w:p>
    <w:p w14:paraId="2C649AC1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pict w14:anchorId="25DD7FE7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A91B64E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III. Analyzing the Impact: Negative vs. Positive Outcomes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3666"/>
        <w:gridCol w:w="3469"/>
      </w:tblGrid>
      <w:tr w:rsidR="00614E5C" w:rsidRPr="00614E5C" w14:paraId="48FC26C8" w14:textId="77777777" w:rsidTr="00614E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0BA029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lastRenderedPageBreak/>
              <w:t>Factor</w:t>
            </w:r>
          </w:p>
        </w:tc>
        <w:tc>
          <w:tcPr>
            <w:tcW w:w="0" w:type="auto"/>
            <w:vAlign w:val="center"/>
            <w:hideMark/>
          </w:tcPr>
          <w:p w14:paraId="600C05DB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Negative Impact (If Poorly Managed)</w:t>
            </w:r>
          </w:p>
        </w:tc>
        <w:tc>
          <w:tcPr>
            <w:tcW w:w="0" w:type="auto"/>
            <w:vAlign w:val="center"/>
            <w:hideMark/>
          </w:tcPr>
          <w:p w14:paraId="48498EE8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Positive Impact (If Strategically Implemented)</w:t>
            </w:r>
          </w:p>
        </w:tc>
      </w:tr>
      <w:tr w:rsidR="00614E5C" w:rsidRPr="00614E5C" w14:paraId="0EBD9554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8B1F5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Employee Morale &amp; Engagement</w:t>
            </w:r>
          </w:p>
        </w:tc>
        <w:tc>
          <w:tcPr>
            <w:tcW w:w="0" w:type="auto"/>
            <w:vAlign w:val="center"/>
            <w:hideMark/>
          </w:tcPr>
          <w:p w14:paraId="277FBBAD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Resistance, disengagement, or attrition if employees feel forced.</w:t>
            </w:r>
          </w:p>
        </w:tc>
        <w:tc>
          <w:tcPr>
            <w:tcW w:w="0" w:type="auto"/>
            <w:vAlign w:val="center"/>
            <w:hideMark/>
          </w:tcPr>
          <w:p w14:paraId="6A4FB41C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Strengthened culture, collaboration, and job satisfaction.</w:t>
            </w:r>
          </w:p>
        </w:tc>
      </w:tr>
      <w:tr w:rsidR="00614E5C" w:rsidRPr="00614E5C" w14:paraId="0FD0EBE9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6745C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Productivity</w:t>
            </w:r>
          </w:p>
        </w:tc>
        <w:tc>
          <w:tcPr>
            <w:tcW w:w="0" w:type="auto"/>
            <w:vAlign w:val="center"/>
            <w:hideMark/>
          </w:tcPr>
          <w:p w14:paraId="6A7AB3C7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Drop in efficiency if employees struggle with the transition.</w:t>
            </w:r>
          </w:p>
        </w:tc>
        <w:tc>
          <w:tcPr>
            <w:tcW w:w="0" w:type="auto"/>
            <w:vAlign w:val="center"/>
            <w:hideMark/>
          </w:tcPr>
          <w:p w14:paraId="004FC8A4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Higher performance through team synergy and mentorship.</w:t>
            </w:r>
          </w:p>
        </w:tc>
      </w:tr>
      <w:tr w:rsidR="00614E5C" w:rsidRPr="00614E5C" w14:paraId="55B14E22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70331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Diversity &amp; Inclusion</w:t>
            </w:r>
          </w:p>
        </w:tc>
        <w:tc>
          <w:tcPr>
            <w:tcW w:w="0" w:type="auto"/>
            <w:vAlign w:val="center"/>
            <w:hideMark/>
          </w:tcPr>
          <w:p w14:paraId="0B4243D4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Some employees (parents, caregivers, disabled) may feel excluded.</w:t>
            </w:r>
          </w:p>
        </w:tc>
        <w:tc>
          <w:tcPr>
            <w:tcW w:w="0" w:type="auto"/>
            <w:vAlign w:val="center"/>
            <w:hideMark/>
          </w:tcPr>
          <w:p w14:paraId="0830DD95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Inclusion initiatives can create equity in a hybrid model.</w:t>
            </w:r>
          </w:p>
        </w:tc>
      </w:tr>
      <w:tr w:rsidR="00614E5C" w:rsidRPr="00614E5C" w14:paraId="7BA9B723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F4040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Company Culture</w:t>
            </w:r>
          </w:p>
        </w:tc>
        <w:tc>
          <w:tcPr>
            <w:tcW w:w="0" w:type="auto"/>
            <w:vAlign w:val="center"/>
            <w:hideMark/>
          </w:tcPr>
          <w:p w14:paraId="7A209F2E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Loss of trust if the change lacks transparency.</w:t>
            </w:r>
          </w:p>
        </w:tc>
        <w:tc>
          <w:tcPr>
            <w:tcW w:w="0" w:type="auto"/>
            <w:vAlign w:val="center"/>
            <w:hideMark/>
          </w:tcPr>
          <w:p w14:paraId="50878FEF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Stronger alignment with company values and vision.</w:t>
            </w:r>
          </w:p>
        </w:tc>
      </w:tr>
      <w:tr w:rsidR="00614E5C" w:rsidRPr="00614E5C" w14:paraId="1C1B75F3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3A876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Retention &amp; Turnover</w:t>
            </w:r>
          </w:p>
        </w:tc>
        <w:tc>
          <w:tcPr>
            <w:tcW w:w="0" w:type="auto"/>
            <w:vAlign w:val="center"/>
            <w:hideMark/>
          </w:tcPr>
          <w:p w14:paraId="10C27C2E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Higher attrition if employees feel unsupported.</w:t>
            </w:r>
          </w:p>
        </w:tc>
        <w:tc>
          <w:tcPr>
            <w:tcW w:w="0" w:type="auto"/>
            <w:vAlign w:val="center"/>
            <w:hideMark/>
          </w:tcPr>
          <w:p w14:paraId="1022A4DD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Increased loyalty when employees see benefits.</w:t>
            </w:r>
          </w:p>
        </w:tc>
      </w:tr>
      <w:tr w:rsidR="00614E5C" w:rsidRPr="00614E5C" w14:paraId="12398F9A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89F93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Financial Impact</w:t>
            </w:r>
          </w:p>
        </w:tc>
        <w:tc>
          <w:tcPr>
            <w:tcW w:w="0" w:type="auto"/>
            <w:vAlign w:val="center"/>
            <w:hideMark/>
          </w:tcPr>
          <w:p w14:paraId="685EC25C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Costs associated with workspace adjustments and logistics.</w:t>
            </w:r>
          </w:p>
        </w:tc>
        <w:tc>
          <w:tcPr>
            <w:tcW w:w="0" w:type="auto"/>
            <w:vAlign w:val="center"/>
            <w:hideMark/>
          </w:tcPr>
          <w:p w14:paraId="16533C36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ROI through increased innovation, collaboration, and efficiency.</w:t>
            </w:r>
          </w:p>
        </w:tc>
      </w:tr>
    </w:tbl>
    <w:p w14:paraId="4546D253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pict w14:anchorId="3D80749E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8FF89A7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IV. Strategic Approach for a Successful Transition</w:t>
      </w:r>
    </w:p>
    <w:p w14:paraId="0E509ACC" w14:textId="77777777" w:rsidR="00614E5C" w:rsidRPr="00614E5C" w:rsidRDefault="00614E5C" w:rsidP="00614E5C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A. Key Objectives</w:t>
      </w:r>
    </w:p>
    <w:p w14:paraId="454F3064" w14:textId="77777777" w:rsidR="00614E5C" w:rsidRPr="00614E5C" w:rsidRDefault="00614E5C" w:rsidP="00614E5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 xml:space="preserve">Ensure a </w:t>
      </w:r>
      <w:r w:rsidRPr="00614E5C">
        <w:rPr>
          <w:rFonts w:eastAsia="Times New Roman" w:cs="Times New Roman"/>
          <w:b/>
          <w:bCs/>
          <w:kern w:val="0"/>
          <w14:ligatures w14:val="none"/>
        </w:rPr>
        <w:t>smooth and flexible</w:t>
      </w:r>
      <w:r w:rsidRPr="00614E5C">
        <w:rPr>
          <w:rFonts w:eastAsia="Times New Roman" w:cs="Times New Roman"/>
          <w:kern w:val="0"/>
          <w14:ligatures w14:val="none"/>
        </w:rPr>
        <w:t xml:space="preserve"> transition to in-office or hybrid work.</w:t>
      </w:r>
    </w:p>
    <w:p w14:paraId="0A005395" w14:textId="77777777" w:rsidR="00614E5C" w:rsidRPr="00614E5C" w:rsidRDefault="00614E5C" w:rsidP="00614E5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>Address employee concerns proactively.</w:t>
      </w:r>
    </w:p>
    <w:p w14:paraId="49933A25" w14:textId="77777777" w:rsidR="00614E5C" w:rsidRPr="00614E5C" w:rsidRDefault="00614E5C" w:rsidP="00614E5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>Maximize the benefits of in-person work while mitigating challenges.</w:t>
      </w:r>
    </w:p>
    <w:p w14:paraId="302A6E11" w14:textId="77777777" w:rsidR="00614E5C" w:rsidRPr="00614E5C" w:rsidRDefault="00614E5C" w:rsidP="00614E5C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B. Phased Return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7"/>
        <w:gridCol w:w="4740"/>
        <w:gridCol w:w="1083"/>
      </w:tblGrid>
      <w:tr w:rsidR="00614E5C" w:rsidRPr="00614E5C" w14:paraId="26B62E2B" w14:textId="77777777" w:rsidTr="00614E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CD46BC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6C1F7BDA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Action Steps</w:t>
            </w:r>
          </w:p>
        </w:tc>
        <w:tc>
          <w:tcPr>
            <w:tcW w:w="0" w:type="auto"/>
            <w:vAlign w:val="center"/>
            <w:hideMark/>
          </w:tcPr>
          <w:p w14:paraId="0EDF4712" w14:textId="77777777" w:rsidR="00614E5C" w:rsidRPr="00614E5C" w:rsidRDefault="00614E5C" w:rsidP="00614E5C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Timeline</w:t>
            </w:r>
          </w:p>
        </w:tc>
      </w:tr>
      <w:tr w:rsidR="00614E5C" w:rsidRPr="00614E5C" w14:paraId="0F6AF6F2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5FD0A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1: Leadership Alignment</w:t>
            </w:r>
          </w:p>
        </w:tc>
        <w:tc>
          <w:tcPr>
            <w:tcW w:w="0" w:type="auto"/>
            <w:vAlign w:val="center"/>
            <w:hideMark/>
          </w:tcPr>
          <w:p w14:paraId="0499452C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 xml:space="preserve">Secure </w:t>
            </w:r>
            <w:proofErr w:type="gramStart"/>
            <w:r w:rsidRPr="00614E5C">
              <w:rPr>
                <w:rFonts w:eastAsia="Times New Roman" w:cs="Times New Roman"/>
                <w:kern w:val="0"/>
                <w14:ligatures w14:val="none"/>
              </w:rPr>
              <w:t>executive</w:t>
            </w:r>
            <w:proofErr w:type="gramEnd"/>
            <w:r w:rsidRPr="00614E5C">
              <w:rPr>
                <w:rFonts w:eastAsia="Times New Roman" w:cs="Times New Roman"/>
                <w:kern w:val="0"/>
                <w14:ligatures w14:val="none"/>
              </w:rPr>
              <w:t xml:space="preserve"> buy-in &amp; align RTW goals with business strategy.</w:t>
            </w:r>
          </w:p>
        </w:tc>
        <w:tc>
          <w:tcPr>
            <w:tcW w:w="0" w:type="auto"/>
            <w:vAlign w:val="center"/>
            <w:hideMark/>
          </w:tcPr>
          <w:p w14:paraId="06FF68FA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Month 1</w:t>
            </w:r>
          </w:p>
        </w:tc>
      </w:tr>
      <w:tr w:rsidR="00614E5C" w:rsidRPr="00614E5C" w14:paraId="6894DB9F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05744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2: Employee Feedback &amp; Readiness</w:t>
            </w:r>
          </w:p>
        </w:tc>
        <w:tc>
          <w:tcPr>
            <w:tcW w:w="0" w:type="auto"/>
            <w:vAlign w:val="center"/>
            <w:hideMark/>
          </w:tcPr>
          <w:p w14:paraId="5D708BC4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Conduct surveys, town halls, and focus groups to assess concerns.</w:t>
            </w:r>
          </w:p>
        </w:tc>
        <w:tc>
          <w:tcPr>
            <w:tcW w:w="0" w:type="auto"/>
            <w:vAlign w:val="center"/>
            <w:hideMark/>
          </w:tcPr>
          <w:p w14:paraId="41AEC3A8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Month 2</w:t>
            </w:r>
          </w:p>
        </w:tc>
      </w:tr>
      <w:tr w:rsidR="00614E5C" w:rsidRPr="00614E5C" w14:paraId="33A8EDB0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A4991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3: Flexible Policy Development</w:t>
            </w:r>
          </w:p>
        </w:tc>
        <w:tc>
          <w:tcPr>
            <w:tcW w:w="0" w:type="auto"/>
            <w:vAlign w:val="center"/>
            <w:hideMark/>
          </w:tcPr>
          <w:p w14:paraId="52A4FB3E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Design hybrid or full RTW policies with clear guidelines.</w:t>
            </w:r>
          </w:p>
        </w:tc>
        <w:tc>
          <w:tcPr>
            <w:tcW w:w="0" w:type="auto"/>
            <w:vAlign w:val="center"/>
            <w:hideMark/>
          </w:tcPr>
          <w:p w14:paraId="1E4762E0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Month 3-4</w:t>
            </w:r>
          </w:p>
        </w:tc>
      </w:tr>
      <w:tr w:rsidR="00614E5C" w:rsidRPr="00614E5C" w14:paraId="1785679C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34942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4: Pilot Program</w:t>
            </w:r>
          </w:p>
        </w:tc>
        <w:tc>
          <w:tcPr>
            <w:tcW w:w="0" w:type="auto"/>
            <w:vAlign w:val="center"/>
            <w:hideMark/>
          </w:tcPr>
          <w:p w14:paraId="630E5E63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Test return plan with a select group before company-wide rollout.</w:t>
            </w:r>
          </w:p>
        </w:tc>
        <w:tc>
          <w:tcPr>
            <w:tcW w:w="0" w:type="auto"/>
            <w:vAlign w:val="center"/>
            <w:hideMark/>
          </w:tcPr>
          <w:p w14:paraId="3947EE15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Month 5</w:t>
            </w:r>
          </w:p>
        </w:tc>
      </w:tr>
      <w:tr w:rsidR="00614E5C" w:rsidRPr="00614E5C" w14:paraId="6750DA66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48630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5: Full Implementation</w:t>
            </w:r>
          </w:p>
        </w:tc>
        <w:tc>
          <w:tcPr>
            <w:tcW w:w="0" w:type="auto"/>
            <w:vAlign w:val="center"/>
            <w:hideMark/>
          </w:tcPr>
          <w:p w14:paraId="20FCDA52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Gradual return based on department needs &amp; readiness.</w:t>
            </w:r>
          </w:p>
        </w:tc>
        <w:tc>
          <w:tcPr>
            <w:tcW w:w="0" w:type="auto"/>
            <w:vAlign w:val="center"/>
            <w:hideMark/>
          </w:tcPr>
          <w:p w14:paraId="1F50516F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Month 6+</w:t>
            </w:r>
          </w:p>
        </w:tc>
      </w:tr>
      <w:tr w:rsidR="00614E5C" w:rsidRPr="00614E5C" w14:paraId="17ACD44C" w14:textId="77777777" w:rsidTr="00614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77B69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Phase 6: Review &amp; </w:t>
            </w:r>
            <w:proofErr w:type="gramStart"/>
            <w:r w:rsidRPr="00614E5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Adjust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1CA62464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Continuous feedback loop to refine policies.</w:t>
            </w:r>
          </w:p>
        </w:tc>
        <w:tc>
          <w:tcPr>
            <w:tcW w:w="0" w:type="auto"/>
            <w:vAlign w:val="center"/>
            <w:hideMark/>
          </w:tcPr>
          <w:p w14:paraId="2CCEE17A" w14:textId="77777777" w:rsidR="00614E5C" w:rsidRPr="00614E5C" w:rsidRDefault="00614E5C" w:rsidP="00614E5C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614E5C">
              <w:rPr>
                <w:rFonts w:eastAsia="Times New Roman" w:cs="Times New Roman"/>
                <w:kern w:val="0"/>
                <w14:ligatures w14:val="none"/>
              </w:rPr>
              <w:t>Ongoing</w:t>
            </w:r>
          </w:p>
        </w:tc>
      </w:tr>
    </w:tbl>
    <w:p w14:paraId="5C592C51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lastRenderedPageBreak/>
        <w:pict w14:anchorId="0406B7FB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4060EEB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V. Change Management &amp; Communication Strategy</w:t>
      </w:r>
    </w:p>
    <w:p w14:paraId="57773200" w14:textId="77777777" w:rsidR="00614E5C" w:rsidRPr="00614E5C" w:rsidRDefault="00614E5C" w:rsidP="00614E5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Transparent Communication</w:t>
      </w:r>
      <w:r w:rsidRPr="00614E5C">
        <w:rPr>
          <w:rFonts w:eastAsia="Times New Roman" w:cs="Times New Roman"/>
          <w:kern w:val="0"/>
          <w14:ligatures w14:val="none"/>
        </w:rPr>
        <w:t xml:space="preserve"> – Clear messaging on expectations, benefits, and support available.</w:t>
      </w:r>
    </w:p>
    <w:p w14:paraId="12C601AB" w14:textId="77777777" w:rsidR="00614E5C" w:rsidRPr="00614E5C" w:rsidRDefault="00614E5C" w:rsidP="00614E5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Flexibility &amp; Support Systems</w:t>
      </w:r>
      <w:r w:rsidRPr="00614E5C">
        <w:rPr>
          <w:rFonts w:eastAsia="Times New Roman" w:cs="Times New Roman"/>
          <w:kern w:val="0"/>
          <w14:ligatures w14:val="none"/>
        </w:rPr>
        <w:t xml:space="preserve"> – Hybrid options, wellness programs, and commuting support.</w:t>
      </w:r>
    </w:p>
    <w:p w14:paraId="513AC487" w14:textId="77777777" w:rsidR="00614E5C" w:rsidRPr="00614E5C" w:rsidRDefault="00614E5C" w:rsidP="00614E5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Leadership Role Modeling</w:t>
      </w:r>
      <w:r w:rsidRPr="00614E5C">
        <w:rPr>
          <w:rFonts w:eastAsia="Times New Roman" w:cs="Times New Roman"/>
          <w:kern w:val="0"/>
          <w14:ligatures w14:val="none"/>
        </w:rPr>
        <w:t xml:space="preserve"> – Leaders should set the example by embracing in-office collaboration.</w:t>
      </w:r>
    </w:p>
    <w:p w14:paraId="56924CDA" w14:textId="77777777" w:rsidR="00614E5C" w:rsidRPr="00614E5C" w:rsidRDefault="00614E5C" w:rsidP="00614E5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Employee Incentives &amp; Engagement</w:t>
      </w:r>
      <w:r w:rsidRPr="00614E5C">
        <w:rPr>
          <w:rFonts w:eastAsia="Times New Roman" w:cs="Times New Roman"/>
          <w:kern w:val="0"/>
          <w14:ligatures w14:val="none"/>
        </w:rPr>
        <w:t xml:space="preserve"> – Community-building events, recognition programs, and professional development.</w:t>
      </w:r>
    </w:p>
    <w:p w14:paraId="459B30EB" w14:textId="77777777" w:rsidR="00614E5C" w:rsidRPr="00614E5C" w:rsidRDefault="00614E5C" w:rsidP="00614E5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HR Support &amp; Training</w:t>
      </w:r>
      <w:r w:rsidRPr="00614E5C">
        <w:rPr>
          <w:rFonts w:eastAsia="Times New Roman" w:cs="Times New Roman"/>
          <w:kern w:val="0"/>
          <w14:ligatures w14:val="none"/>
        </w:rPr>
        <w:t xml:space="preserve"> – Workshops on adapting to the new work model.</w:t>
      </w:r>
    </w:p>
    <w:p w14:paraId="6DB08C86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pict w14:anchorId="10CCBED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90BD2C3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VI. Measuring Success: Key Metrics</w:t>
      </w:r>
    </w:p>
    <w:p w14:paraId="45A153D6" w14:textId="77777777" w:rsidR="00614E5C" w:rsidRPr="00614E5C" w:rsidRDefault="00614E5C" w:rsidP="00614E5C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>To ensure a successful transition, we will track:</w:t>
      </w:r>
    </w:p>
    <w:p w14:paraId="591A2024" w14:textId="77777777" w:rsidR="00614E5C" w:rsidRPr="00614E5C" w:rsidRDefault="00614E5C" w:rsidP="00614E5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Employee Satisfaction Surveys</w:t>
      </w:r>
      <w:r w:rsidRPr="00614E5C">
        <w:rPr>
          <w:rFonts w:eastAsia="Times New Roman" w:cs="Times New Roman"/>
          <w:kern w:val="0"/>
          <w14:ligatures w14:val="none"/>
        </w:rPr>
        <w:t xml:space="preserve"> – Gauge morale before and after RTW.</w:t>
      </w:r>
    </w:p>
    <w:p w14:paraId="5A4FF864" w14:textId="77777777" w:rsidR="00614E5C" w:rsidRPr="00614E5C" w:rsidRDefault="00614E5C" w:rsidP="00614E5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Retention &amp; Turnover Rates</w:t>
      </w:r>
      <w:r w:rsidRPr="00614E5C">
        <w:rPr>
          <w:rFonts w:eastAsia="Times New Roman" w:cs="Times New Roman"/>
          <w:kern w:val="0"/>
          <w14:ligatures w14:val="none"/>
        </w:rPr>
        <w:t xml:space="preserve"> – Identify any talent loss or gains.</w:t>
      </w:r>
    </w:p>
    <w:p w14:paraId="48F90312" w14:textId="77777777" w:rsidR="00614E5C" w:rsidRPr="00614E5C" w:rsidRDefault="00614E5C" w:rsidP="00614E5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Productivity Metrics</w:t>
      </w:r>
      <w:r w:rsidRPr="00614E5C">
        <w:rPr>
          <w:rFonts w:eastAsia="Times New Roman" w:cs="Times New Roman"/>
          <w:kern w:val="0"/>
          <w14:ligatures w14:val="none"/>
        </w:rPr>
        <w:t xml:space="preserve"> – Measure efficiency, collaboration, and innovation levels.</w:t>
      </w:r>
    </w:p>
    <w:p w14:paraId="13F7B537" w14:textId="77777777" w:rsidR="00614E5C" w:rsidRPr="00614E5C" w:rsidRDefault="00614E5C" w:rsidP="00614E5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Workplace Engagement Scores</w:t>
      </w:r>
      <w:r w:rsidRPr="00614E5C">
        <w:rPr>
          <w:rFonts w:eastAsia="Times New Roman" w:cs="Times New Roman"/>
          <w:kern w:val="0"/>
          <w14:ligatures w14:val="none"/>
        </w:rPr>
        <w:t xml:space="preserve"> – Monitor team cohesion and satisfaction.</w:t>
      </w:r>
    </w:p>
    <w:p w14:paraId="20EFB322" w14:textId="77777777" w:rsidR="00614E5C" w:rsidRPr="00614E5C" w:rsidRDefault="00614E5C" w:rsidP="00614E5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Financial Performance Indicators</w:t>
      </w:r>
      <w:r w:rsidRPr="00614E5C">
        <w:rPr>
          <w:rFonts w:eastAsia="Times New Roman" w:cs="Times New Roman"/>
          <w:kern w:val="0"/>
          <w14:ligatures w14:val="none"/>
        </w:rPr>
        <w:t xml:space="preserve"> – Assess ROI on in-person collaboration.</w:t>
      </w:r>
    </w:p>
    <w:p w14:paraId="26B7E304" w14:textId="77777777" w:rsidR="00614E5C" w:rsidRPr="00614E5C" w:rsidRDefault="005B7928" w:rsidP="00614E5C">
      <w:pPr>
        <w:rPr>
          <w:rFonts w:eastAsia="Times New Roman" w:cs="Times New Roman"/>
          <w:kern w:val="0"/>
          <w14:ligatures w14:val="none"/>
        </w:rPr>
      </w:pPr>
      <w:r w:rsidRPr="005B7928">
        <w:rPr>
          <w:rFonts w:eastAsia="Times New Roman" w:cs="Times New Roman"/>
          <w:noProof/>
          <w:kern w:val="0"/>
        </w:rPr>
        <w:pict w14:anchorId="19C25A2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78CC4C0" w14:textId="77777777" w:rsidR="00614E5C" w:rsidRPr="00614E5C" w:rsidRDefault="00614E5C" w:rsidP="00614E5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614E5C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VII. Call to Action &amp; Next Steps</w:t>
      </w:r>
    </w:p>
    <w:p w14:paraId="6E64F1B5" w14:textId="77777777" w:rsidR="00614E5C" w:rsidRPr="00614E5C" w:rsidRDefault="00614E5C" w:rsidP="00614E5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Leadership Commitment &amp; Approval</w:t>
      </w:r>
    </w:p>
    <w:p w14:paraId="3199A59D" w14:textId="77777777" w:rsidR="00614E5C" w:rsidRPr="00614E5C" w:rsidRDefault="00614E5C" w:rsidP="00614E5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Define Return-to-Work Policies</w:t>
      </w:r>
    </w:p>
    <w:p w14:paraId="6E73516C" w14:textId="77777777" w:rsidR="00614E5C" w:rsidRPr="00614E5C" w:rsidRDefault="00614E5C" w:rsidP="00614E5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Communicate &amp; Implement the Transition Plan</w:t>
      </w:r>
    </w:p>
    <w:p w14:paraId="590790D2" w14:textId="77777777" w:rsidR="00614E5C" w:rsidRPr="00614E5C" w:rsidRDefault="00614E5C" w:rsidP="00614E5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b/>
          <w:bCs/>
          <w:kern w:val="0"/>
          <w14:ligatures w14:val="none"/>
        </w:rPr>
        <w:t>Evaluate &amp; Adjust Based on Feedback</w:t>
      </w:r>
    </w:p>
    <w:p w14:paraId="124BBA68" w14:textId="77777777" w:rsidR="00614E5C" w:rsidRPr="00614E5C" w:rsidRDefault="00614E5C" w:rsidP="00614E5C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614E5C">
        <w:rPr>
          <w:rFonts w:eastAsia="Times New Roman" w:cs="Times New Roman"/>
          <w:kern w:val="0"/>
          <w14:ligatures w14:val="none"/>
        </w:rPr>
        <w:t xml:space="preserve">By implementing a well-planned Return-to-Work initiative, the company can </w:t>
      </w:r>
      <w:r w:rsidRPr="00614E5C">
        <w:rPr>
          <w:rFonts w:eastAsia="Times New Roman" w:cs="Times New Roman"/>
          <w:b/>
          <w:bCs/>
          <w:kern w:val="0"/>
          <w14:ligatures w14:val="none"/>
        </w:rPr>
        <w:t>enhance culture, increase productivity, and retain top talent</w:t>
      </w:r>
      <w:r w:rsidRPr="00614E5C">
        <w:rPr>
          <w:rFonts w:eastAsia="Times New Roman" w:cs="Times New Roman"/>
          <w:kern w:val="0"/>
          <w14:ligatures w14:val="none"/>
        </w:rPr>
        <w:t xml:space="preserve">, ensuring a </w:t>
      </w:r>
      <w:r w:rsidRPr="00614E5C">
        <w:rPr>
          <w:rFonts w:eastAsia="Times New Roman" w:cs="Times New Roman"/>
          <w:b/>
          <w:bCs/>
          <w:kern w:val="0"/>
          <w14:ligatures w14:val="none"/>
        </w:rPr>
        <w:t>seamless and effective transition</w:t>
      </w:r>
      <w:r w:rsidRPr="00614E5C">
        <w:rPr>
          <w:rFonts w:eastAsia="Times New Roman" w:cs="Times New Roman"/>
          <w:kern w:val="0"/>
          <w14:ligatures w14:val="none"/>
        </w:rPr>
        <w:t>.</w:t>
      </w:r>
    </w:p>
    <w:p w14:paraId="6BF44ED1" w14:textId="77777777" w:rsidR="00FB4CD9" w:rsidRDefault="00FB4CD9"/>
    <w:sectPr w:rsidR="00FB4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14AAE"/>
    <w:multiLevelType w:val="multilevel"/>
    <w:tmpl w:val="6A4EA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B5B78"/>
    <w:multiLevelType w:val="multilevel"/>
    <w:tmpl w:val="93E09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F661FB"/>
    <w:multiLevelType w:val="multilevel"/>
    <w:tmpl w:val="6AD4C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E1C82"/>
    <w:multiLevelType w:val="multilevel"/>
    <w:tmpl w:val="A94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931483"/>
    <w:multiLevelType w:val="multilevel"/>
    <w:tmpl w:val="182A4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727DE"/>
    <w:multiLevelType w:val="multilevel"/>
    <w:tmpl w:val="43FC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173716">
    <w:abstractNumId w:val="2"/>
  </w:num>
  <w:num w:numId="2" w16cid:durableId="234318838">
    <w:abstractNumId w:val="1"/>
  </w:num>
  <w:num w:numId="3" w16cid:durableId="1745948916">
    <w:abstractNumId w:val="5"/>
  </w:num>
  <w:num w:numId="4" w16cid:durableId="769161299">
    <w:abstractNumId w:val="4"/>
  </w:num>
  <w:num w:numId="5" w16cid:durableId="1803303830">
    <w:abstractNumId w:val="3"/>
  </w:num>
  <w:num w:numId="6" w16cid:durableId="2126610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5C"/>
    <w:rsid w:val="0029501C"/>
    <w:rsid w:val="0031004F"/>
    <w:rsid w:val="00570B3A"/>
    <w:rsid w:val="005B7928"/>
    <w:rsid w:val="00614E5C"/>
    <w:rsid w:val="00754C14"/>
    <w:rsid w:val="00FB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89D27"/>
  <w15:chartTrackingRefBased/>
  <w15:docId w15:val="{E26D6664-9C05-944B-945C-CA479925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14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14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14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E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E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E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E5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14E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E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Bradbury</dc:creator>
  <cp:keywords/>
  <dc:description/>
  <cp:lastModifiedBy>Camille Bradbury</cp:lastModifiedBy>
  <cp:revision>1</cp:revision>
  <dcterms:created xsi:type="dcterms:W3CDTF">2025-03-19T02:29:00Z</dcterms:created>
  <dcterms:modified xsi:type="dcterms:W3CDTF">2025-03-19T17:16:00Z</dcterms:modified>
</cp:coreProperties>
</file>