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F95C" w14:textId="493532F7" w:rsidR="00840862" w:rsidRDefault="006B2F27" w:rsidP="00A24AA8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noProof/>
          <w:kern w:val="0"/>
        </w:rPr>
        <w:drawing>
          <wp:inline distT="0" distB="0" distL="0" distR="0" wp14:anchorId="08659952" wp14:editId="52FEFE31">
            <wp:extent cx="5942324" cy="1711234"/>
            <wp:effectExtent l="0" t="0" r="1905" b="3810"/>
            <wp:docPr id="26648763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487634" name="Picture 1" descr="A screenshot of a computer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570"/>
                    <a:stretch/>
                  </pic:blipFill>
                  <pic:spPr bwMode="auto">
                    <a:xfrm>
                      <a:off x="0" y="0"/>
                      <a:ext cx="5943600" cy="1711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75D80B" w14:textId="7AB46E57" w:rsidR="00A24AA8" w:rsidRPr="00A24AA8" w:rsidRDefault="00A24AA8" w:rsidP="00A24AA8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 xml:space="preserve">Here's a structured </w:t>
      </w:r>
      <w:r w:rsidRPr="00A24AA8">
        <w:rPr>
          <w:rFonts w:eastAsia="Times New Roman" w:cs="Times New Roman"/>
          <w:b/>
          <w:bCs/>
          <w:kern w:val="0"/>
          <w14:ligatures w14:val="none"/>
        </w:rPr>
        <w:t>Plan Initiative Template</w:t>
      </w:r>
      <w:r w:rsidRPr="00A24AA8">
        <w:rPr>
          <w:rFonts w:eastAsia="Times New Roman" w:cs="Times New Roman"/>
          <w:kern w:val="0"/>
          <w14:ligatures w14:val="none"/>
        </w:rPr>
        <w:t xml:space="preserve"> for HR managers to present to stakeholders and leadership on why </w:t>
      </w:r>
      <w:r w:rsidRPr="00A24AA8">
        <w:rPr>
          <w:rFonts w:eastAsia="Times New Roman" w:cs="Times New Roman"/>
          <w:b/>
          <w:bCs/>
          <w:kern w:val="0"/>
          <w14:ligatures w14:val="none"/>
        </w:rPr>
        <w:t>Title VII matters</w:t>
      </w:r>
      <w:r w:rsidRPr="00A24AA8">
        <w:rPr>
          <w:rFonts w:eastAsia="Times New Roman" w:cs="Times New Roman"/>
          <w:kern w:val="0"/>
          <w14:ligatures w14:val="none"/>
        </w:rPr>
        <w:t xml:space="preserve"> and how a </w:t>
      </w:r>
      <w:r w:rsidRPr="00A24AA8">
        <w:rPr>
          <w:rFonts w:eastAsia="Times New Roman" w:cs="Times New Roman"/>
          <w:b/>
          <w:bCs/>
          <w:kern w:val="0"/>
          <w14:ligatures w14:val="none"/>
        </w:rPr>
        <w:t>new training plan</w:t>
      </w:r>
      <w:r w:rsidRPr="00A24AA8">
        <w:rPr>
          <w:rFonts w:eastAsia="Times New Roman" w:cs="Times New Roman"/>
          <w:kern w:val="0"/>
          <w14:ligatures w14:val="none"/>
        </w:rPr>
        <w:t xml:space="preserve"> can help prevent cognitive bias and workplace discrimination.</w:t>
      </w:r>
    </w:p>
    <w:p w14:paraId="40EDE3AE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51DDFF23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01446135" w14:textId="77777777" w:rsidR="00A24AA8" w:rsidRPr="00A24AA8" w:rsidRDefault="00A24AA8" w:rsidP="00A24AA8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kern w:val="36"/>
          <w:sz w:val="48"/>
          <w:szCs w:val="48"/>
          <w14:ligatures w14:val="none"/>
        </w:rPr>
      </w:pPr>
      <w:r w:rsidRPr="00A24AA8">
        <w:rPr>
          <w:rFonts w:eastAsia="Times New Roman" w:cs="Times New Roman"/>
          <w:b/>
          <w:bCs/>
          <w:kern w:val="36"/>
          <w:sz w:val="48"/>
          <w:szCs w:val="48"/>
          <w14:ligatures w14:val="none"/>
        </w:rPr>
        <w:t>Title VII Compliance &amp; Inclusive Workplace Initiative</w:t>
      </w:r>
    </w:p>
    <w:p w14:paraId="3751DD4F" w14:textId="77777777" w:rsidR="00A24AA8" w:rsidRPr="00A24AA8" w:rsidRDefault="00A24AA8" w:rsidP="00A24AA8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  <w:t>Proposal for Leadership &amp; Stakeholders</w:t>
      </w:r>
    </w:p>
    <w:p w14:paraId="5AA3FC3C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I. Executive Summary</w:t>
      </w:r>
    </w:p>
    <w:p w14:paraId="60107B9C" w14:textId="77777777" w:rsidR="00A24AA8" w:rsidRPr="00A24AA8" w:rsidRDefault="00A24AA8" w:rsidP="00A24AA8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>Title VII of the Civil Rights Act of 1964 prohibits workplace discrimination based on race, color, religion, sex, or national origin. Ensuring compliance with Title VII is not just a legal requirement but a strategic advantage. This initiative outlines why inclusive hiring matters, the competitive benefits of non-discrimination, and the need for a comprehensive training plan to mitigate cognitive bias and workplace discrimination.</w:t>
      </w:r>
    </w:p>
    <w:p w14:paraId="73630C80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4C91B7F5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39E37BDE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II. Business Case for Inclusive Hiring &amp; Non-Discrimination</w:t>
      </w:r>
    </w:p>
    <w:p w14:paraId="6713C6BE" w14:textId="77777777" w:rsidR="00A24AA8" w:rsidRPr="00A24AA8" w:rsidRDefault="00A24AA8" w:rsidP="00A24AA8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A. Why Inclusive Hiring Matters</w:t>
      </w:r>
    </w:p>
    <w:p w14:paraId="7CBC51B8" w14:textId="77777777" w:rsidR="00A24AA8" w:rsidRPr="00A24AA8" w:rsidRDefault="00A24AA8" w:rsidP="00A24AA8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Access to a Larger Talent Pool</w:t>
      </w:r>
      <w:r w:rsidRPr="00A24AA8">
        <w:rPr>
          <w:rFonts w:eastAsia="Times New Roman" w:cs="Times New Roman"/>
          <w:kern w:val="0"/>
          <w14:ligatures w14:val="none"/>
        </w:rPr>
        <w:t xml:space="preserve"> – Attracts diverse, highly skilled candidates.</w:t>
      </w:r>
    </w:p>
    <w:p w14:paraId="5F97F2DB" w14:textId="77777777" w:rsidR="00A24AA8" w:rsidRPr="00A24AA8" w:rsidRDefault="00A24AA8" w:rsidP="00A24AA8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Improves Innovation &amp; Problem-Solving</w:t>
      </w:r>
      <w:r w:rsidRPr="00A24AA8">
        <w:rPr>
          <w:rFonts w:eastAsia="Times New Roman" w:cs="Times New Roman"/>
          <w:kern w:val="0"/>
          <w14:ligatures w14:val="none"/>
        </w:rPr>
        <w:t xml:space="preserve"> – Diverse teams outperform homogenous teams in creativity and decision-making.</w:t>
      </w:r>
    </w:p>
    <w:p w14:paraId="634CB4DE" w14:textId="77777777" w:rsidR="00A24AA8" w:rsidRPr="00A24AA8" w:rsidRDefault="00A24AA8" w:rsidP="00A24AA8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Enhances Workplace Culture &amp; Retention</w:t>
      </w:r>
      <w:r w:rsidRPr="00A24AA8">
        <w:rPr>
          <w:rFonts w:eastAsia="Times New Roman" w:cs="Times New Roman"/>
          <w:kern w:val="0"/>
          <w14:ligatures w14:val="none"/>
        </w:rPr>
        <w:t xml:space="preserve"> – Employees in inclusive workplaces are more engaged and have higher job satisfaction.</w:t>
      </w:r>
    </w:p>
    <w:p w14:paraId="10C3856A" w14:textId="77777777" w:rsidR="00A24AA8" w:rsidRPr="00A24AA8" w:rsidRDefault="00A24AA8" w:rsidP="00A24AA8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lastRenderedPageBreak/>
        <w:t>B. Competitive Advantage of Non-Discrimination Policies</w:t>
      </w:r>
    </w:p>
    <w:p w14:paraId="37E1E20A" w14:textId="77777777" w:rsidR="00A24AA8" w:rsidRPr="00A24AA8" w:rsidRDefault="00A24AA8" w:rsidP="00A24AA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Stronger Employer Brand &amp; Reputation</w:t>
      </w:r>
      <w:r w:rsidRPr="00A24AA8">
        <w:rPr>
          <w:rFonts w:eastAsia="Times New Roman" w:cs="Times New Roman"/>
          <w:kern w:val="0"/>
          <w14:ligatures w14:val="none"/>
        </w:rPr>
        <w:t xml:space="preserve"> – Companies with inclusive policies attract top-tier talent.</w:t>
      </w:r>
    </w:p>
    <w:p w14:paraId="6FA96BC0" w14:textId="77777777" w:rsidR="00A24AA8" w:rsidRPr="00A24AA8" w:rsidRDefault="00A24AA8" w:rsidP="00A24AA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Higher Productivity &amp; Collaboration</w:t>
      </w:r>
      <w:r w:rsidRPr="00A24AA8">
        <w:rPr>
          <w:rFonts w:eastAsia="Times New Roman" w:cs="Times New Roman"/>
          <w:kern w:val="0"/>
          <w14:ligatures w14:val="none"/>
        </w:rPr>
        <w:t xml:space="preserve"> – Inclusive teams drive performance, creativity, and adaptability.</w:t>
      </w:r>
    </w:p>
    <w:p w14:paraId="5197A7F3" w14:textId="77777777" w:rsidR="00A24AA8" w:rsidRPr="00A24AA8" w:rsidRDefault="00A24AA8" w:rsidP="00A24AA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Market Growth &amp; Customer Alignment</w:t>
      </w:r>
      <w:r w:rsidRPr="00A24AA8">
        <w:rPr>
          <w:rFonts w:eastAsia="Times New Roman" w:cs="Times New Roman"/>
          <w:kern w:val="0"/>
          <w14:ligatures w14:val="none"/>
        </w:rPr>
        <w:t xml:space="preserve"> – Diverse teams understand and serve diverse customer bases effectively.</w:t>
      </w:r>
    </w:p>
    <w:p w14:paraId="4212F137" w14:textId="77777777" w:rsidR="00A24AA8" w:rsidRPr="00A24AA8" w:rsidRDefault="00A24AA8" w:rsidP="00A24AA8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Reduced Legal &amp; Financial Risks</w:t>
      </w:r>
      <w:r w:rsidRPr="00A24AA8">
        <w:rPr>
          <w:rFonts w:eastAsia="Times New Roman" w:cs="Times New Roman"/>
          <w:kern w:val="0"/>
          <w14:ligatures w14:val="none"/>
        </w:rPr>
        <w:t xml:space="preserve"> – Proactive training and policies prevent costly lawsuits and reputational damage.</w:t>
      </w:r>
    </w:p>
    <w:p w14:paraId="6BBC9FF2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0D4B0E78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3E51065E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III. Why Title VII Compliance is Critical</w:t>
      </w:r>
    </w:p>
    <w:p w14:paraId="456E1CF0" w14:textId="77777777" w:rsidR="00A24AA8" w:rsidRPr="00A24AA8" w:rsidRDefault="00A24AA8" w:rsidP="00A24AA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Legal Obligations &amp; Avoiding Litigation</w:t>
      </w:r>
    </w:p>
    <w:p w14:paraId="2C590665" w14:textId="77777777" w:rsidR="00A24AA8" w:rsidRPr="00A24AA8" w:rsidRDefault="00A24AA8" w:rsidP="00A24AA8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>Compliance with EEOC regulations protects against discrimination claims.</w:t>
      </w:r>
    </w:p>
    <w:p w14:paraId="6E57170C" w14:textId="77777777" w:rsidR="00A24AA8" w:rsidRPr="00A24AA8" w:rsidRDefault="00A24AA8" w:rsidP="00A24AA8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>Penalties for non-compliance include fines, lawsuits, and reputational harm.</w:t>
      </w:r>
    </w:p>
    <w:p w14:paraId="1E1C16B5" w14:textId="77777777" w:rsidR="00A24AA8" w:rsidRPr="00A24AA8" w:rsidRDefault="00A24AA8" w:rsidP="00A24AA8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Building a Safe &amp; Inclusive Work Environment</w:t>
      </w:r>
    </w:p>
    <w:p w14:paraId="369FCE15" w14:textId="77777777" w:rsidR="00A24AA8" w:rsidRPr="00A24AA8" w:rsidRDefault="00A24AA8" w:rsidP="00A24AA8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>Training programs can reduce implicit bias and prevent workplace discrimination.</w:t>
      </w:r>
    </w:p>
    <w:p w14:paraId="2BB1DB8A" w14:textId="77777777" w:rsidR="00A24AA8" w:rsidRPr="00A24AA8" w:rsidRDefault="00A24AA8" w:rsidP="00A24AA8">
      <w:pPr>
        <w:numPr>
          <w:ilvl w:val="1"/>
          <w:numId w:val="3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>A strong commitment to compliance fosters trust and employee satisfaction.</w:t>
      </w:r>
    </w:p>
    <w:p w14:paraId="614003CA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1376CA9E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FDE413C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IV. Proposal: Implementation of a Title VII Training Plan</w:t>
      </w:r>
    </w:p>
    <w:p w14:paraId="3C79875E" w14:textId="77777777" w:rsidR="00A24AA8" w:rsidRPr="00A24AA8" w:rsidRDefault="00A24AA8" w:rsidP="00A24AA8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A. Training Objectives</w:t>
      </w:r>
    </w:p>
    <w:p w14:paraId="1D4B02A2" w14:textId="77777777" w:rsidR="00A24AA8" w:rsidRPr="00A24AA8" w:rsidRDefault="00A24AA8" w:rsidP="00A24AA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Increase Awareness</w:t>
      </w:r>
      <w:r w:rsidRPr="00A24AA8">
        <w:rPr>
          <w:rFonts w:eastAsia="Times New Roman" w:cs="Times New Roman"/>
          <w:kern w:val="0"/>
          <w14:ligatures w14:val="none"/>
        </w:rPr>
        <w:t xml:space="preserve"> of Title VII and anti-discrimination laws.</w:t>
      </w:r>
    </w:p>
    <w:p w14:paraId="61B0C064" w14:textId="77777777" w:rsidR="00A24AA8" w:rsidRPr="00A24AA8" w:rsidRDefault="00A24AA8" w:rsidP="00A24AA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Mitigate Unconscious Bias</w:t>
      </w:r>
      <w:r w:rsidRPr="00A24AA8">
        <w:rPr>
          <w:rFonts w:eastAsia="Times New Roman" w:cs="Times New Roman"/>
          <w:kern w:val="0"/>
          <w14:ligatures w14:val="none"/>
        </w:rPr>
        <w:t xml:space="preserve"> in hiring, promotions, and daily interactions.</w:t>
      </w:r>
    </w:p>
    <w:p w14:paraId="54D1975D" w14:textId="77777777" w:rsidR="00A24AA8" w:rsidRPr="00A24AA8" w:rsidRDefault="00A24AA8" w:rsidP="00A24AA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Foster Inclusive Leadership</w:t>
      </w:r>
      <w:r w:rsidRPr="00A24AA8">
        <w:rPr>
          <w:rFonts w:eastAsia="Times New Roman" w:cs="Times New Roman"/>
          <w:kern w:val="0"/>
          <w14:ligatures w14:val="none"/>
        </w:rPr>
        <w:t xml:space="preserve"> through education and accountability.</w:t>
      </w:r>
    </w:p>
    <w:p w14:paraId="07A8BF3A" w14:textId="77777777" w:rsidR="00A24AA8" w:rsidRPr="00A24AA8" w:rsidRDefault="00A24AA8" w:rsidP="00A24AA8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Ensure Compliance &amp; Best Practices</w:t>
      </w:r>
      <w:r w:rsidRPr="00A24AA8">
        <w:rPr>
          <w:rFonts w:eastAsia="Times New Roman" w:cs="Times New Roman"/>
          <w:kern w:val="0"/>
          <w14:ligatures w14:val="none"/>
        </w:rPr>
        <w:t xml:space="preserve"> for all employees, managers, and leadership.</w:t>
      </w:r>
    </w:p>
    <w:p w14:paraId="6FBCD1E2" w14:textId="77777777" w:rsidR="00A24AA8" w:rsidRPr="00A24AA8" w:rsidRDefault="00A24AA8" w:rsidP="00A24AA8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B. Key Training Components</w:t>
      </w:r>
    </w:p>
    <w:p w14:paraId="39CCC5AF" w14:textId="77777777" w:rsidR="00A24AA8" w:rsidRPr="00A24AA8" w:rsidRDefault="00A24AA8" w:rsidP="00A24AA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Understanding Title VII &amp; Workplace Discrimination</w:t>
      </w:r>
      <w:r w:rsidRPr="00A24AA8">
        <w:rPr>
          <w:rFonts w:eastAsia="Times New Roman" w:cs="Times New Roman"/>
          <w:kern w:val="0"/>
          <w14:ligatures w14:val="none"/>
        </w:rPr>
        <w:t xml:space="preserve"> – Legal framework and real-world case studies.</w:t>
      </w:r>
    </w:p>
    <w:p w14:paraId="7FC8AAB4" w14:textId="77777777" w:rsidR="00A24AA8" w:rsidRPr="00A24AA8" w:rsidRDefault="00A24AA8" w:rsidP="00A24AA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Recognizing &amp; Reducing Cognitive Bias</w:t>
      </w:r>
      <w:r w:rsidRPr="00A24AA8">
        <w:rPr>
          <w:rFonts w:eastAsia="Times New Roman" w:cs="Times New Roman"/>
          <w:kern w:val="0"/>
          <w14:ligatures w14:val="none"/>
        </w:rPr>
        <w:t xml:space="preserve"> – Practical strategies to minimize implicit bias.</w:t>
      </w:r>
    </w:p>
    <w:p w14:paraId="5049BD51" w14:textId="77777777" w:rsidR="00A24AA8" w:rsidRPr="00A24AA8" w:rsidRDefault="00A24AA8" w:rsidP="00A24AA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Inclusive Hiring &amp; Promotion Practices</w:t>
      </w:r>
      <w:r w:rsidRPr="00A24AA8">
        <w:rPr>
          <w:rFonts w:eastAsia="Times New Roman" w:cs="Times New Roman"/>
          <w:kern w:val="0"/>
          <w14:ligatures w14:val="none"/>
        </w:rPr>
        <w:t xml:space="preserve"> – How to create fair and equitable opportunities.</w:t>
      </w:r>
    </w:p>
    <w:p w14:paraId="37F0A4EB" w14:textId="77777777" w:rsidR="00A24AA8" w:rsidRPr="00A24AA8" w:rsidRDefault="00A24AA8" w:rsidP="00A24AA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lastRenderedPageBreak/>
        <w:t>Reporting &amp; Addressing Discrimination</w:t>
      </w:r>
      <w:r w:rsidRPr="00A24AA8">
        <w:rPr>
          <w:rFonts w:eastAsia="Times New Roman" w:cs="Times New Roman"/>
          <w:kern w:val="0"/>
          <w14:ligatures w14:val="none"/>
        </w:rPr>
        <w:t xml:space="preserve"> – Steps to ensure a safe reporting environment.</w:t>
      </w:r>
    </w:p>
    <w:p w14:paraId="25F392B4" w14:textId="77777777" w:rsidR="00A24AA8" w:rsidRPr="00A24AA8" w:rsidRDefault="00A24AA8" w:rsidP="00A24AA8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Accountability &amp; Leadership Responsibility</w:t>
      </w:r>
      <w:r w:rsidRPr="00A24AA8">
        <w:rPr>
          <w:rFonts w:eastAsia="Times New Roman" w:cs="Times New Roman"/>
          <w:kern w:val="0"/>
          <w14:ligatures w14:val="none"/>
        </w:rPr>
        <w:t xml:space="preserve"> – Ensuring buy-in from management.</w:t>
      </w:r>
    </w:p>
    <w:p w14:paraId="0C4FDA3C" w14:textId="77777777" w:rsidR="00A24AA8" w:rsidRPr="00A24AA8" w:rsidRDefault="00A24AA8" w:rsidP="00A24AA8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C. Delivery Methods</w:t>
      </w:r>
    </w:p>
    <w:p w14:paraId="6E73F747" w14:textId="77777777" w:rsidR="00A24AA8" w:rsidRPr="00A24AA8" w:rsidRDefault="00A24AA8" w:rsidP="00A24AA8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Interactive Workshops &amp; Case Studies</w:t>
      </w:r>
      <w:r w:rsidRPr="00A24AA8">
        <w:rPr>
          <w:rFonts w:eastAsia="Times New Roman" w:cs="Times New Roman"/>
          <w:kern w:val="0"/>
          <w14:ligatures w14:val="none"/>
        </w:rPr>
        <w:t xml:space="preserve"> – Hands-on learning experiences.</w:t>
      </w:r>
    </w:p>
    <w:p w14:paraId="71E24392" w14:textId="77777777" w:rsidR="00A24AA8" w:rsidRPr="00A24AA8" w:rsidRDefault="00A24AA8" w:rsidP="00A24AA8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E-Learning Modules</w:t>
      </w:r>
      <w:r w:rsidRPr="00A24AA8">
        <w:rPr>
          <w:rFonts w:eastAsia="Times New Roman" w:cs="Times New Roman"/>
          <w:kern w:val="0"/>
          <w14:ligatures w14:val="none"/>
        </w:rPr>
        <w:t xml:space="preserve"> – Flexible, self-paced training.</w:t>
      </w:r>
    </w:p>
    <w:p w14:paraId="10471DB8" w14:textId="77777777" w:rsidR="00A24AA8" w:rsidRPr="00A24AA8" w:rsidRDefault="00A24AA8" w:rsidP="00A24AA8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Managerial Coaching &amp; Leadership Training</w:t>
      </w:r>
      <w:r w:rsidRPr="00A24AA8">
        <w:rPr>
          <w:rFonts w:eastAsia="Times New Roman" w:cs="Times New Roman"/>
          <w:kern w:val="0"/>
          <w14:ligatures w14:val="none"/>
        </w:rPr>
        <w:t xml:space="preserve"> – Equip leaders to set the standard.</w:t>
      </w:r>
    </w:p>
    <w:p w14:paraId="134BE20E" w14:textId="77777777" w:rsidR="00A24AA8" w:rsidRPr="00A24AA8" w:rsidRDefault="00A24AA8" w:rsidP="00A24AA8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Ongoing Evaluations &amp; Feedback Loops</w:t>
      </w:r>
      <w:r w:rsidRPr="00A24AA8">
        <w:rPr>
          <w:rFonts w:eastAsia="Times New Roman" w:cs="Times New Roman"/>
          <w:kern w:val="0"/>
          <w14:ligatures w14:val="none"/>
        </w:rPr>
        <w:t xml:space="preserve"> – Regular assessments to measure effectiveness.</w:t>
      </w:r>
    </w:p>
    <w:p w14:paraId="612BEE21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4F47CBA4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6D5B46EC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V. Implementation Plan &amp; Timeline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"/>
        <w:gridCol w:w="5119"/>
        <w:gridCol w:w="1127"/>
      </w:tblGrid>
      <w:tr w:rsidR="00A24AA8" w:rsidRPr="00A24AA8" w14:paraId="668A8DDE" w14:textId="77777777" w:rsidTr="00A24A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BCAAE4" w14:textId="77777777" w:rsidR="00A24AA8" w:rsidRPr="00A24AA8" w:rsidRDefault="00A24AA8" w:rsidP="006B2F27">
            <w:pPr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</w:t>
            </w:r>
          </w:p>
        </w:tc>
        <w:tc>
          <w:tcPr>
            <w:tcW w:w="0" w:type="auto"/>
            <w:vAlign w:val="center"/>
            <w:hideMark/>
          </w:tcPr>
          <w:p w14:paraId="1DF4E0E5" w14:textId="77777777" w:rsidR="00A24AA8" w:rsidRPr="00A24AA8" w:rsidRDefault="00A24AA8" w:rsidP="00A24AA8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Action Steps</w:t>
            </w:r>
          </w:p>
        </w:tc>
        <w:tc>
          <w:tcPr>
            <w:tcW w:w="0" w:type="auto"/>
            <w:vAlign w:val="center"/>
            <w:hideMark/>
          </w:tcPr>
          <w:p w14:paraId="56647287" w14:textId="77777777" w:rsidR="00A24AA8" w:rsidRPr="00A24AA8" w:rsidRDefault="00A24AA8" w:rsidP="00A24AA8">
            <w:pPr>
              <w:jc w:val="center"/>
              <w:rPr>
                <w:rFonts w:eastAsia="Times New Roman" w:cs="Times New Roman"/>
                <w:b/>
                <w:bCs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Timeline</w:t>
            </w:r>
          </w:p>
        </w:tc>
      </w:tr>
      <w:tr w:rsidR="00A24AA8" w:rsidRPr="00A24AA8" w14:paraId="3B5DF4E0" w14:textId="77777777" w:rsidTr="00A24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15BE8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1</w:t>
            </w:r>
          </w:p>
        </w:tc>
        <w:tc>
          <w:tcPr>
            <w:tcW w:w="0" w:type="auto"/>
            <w:vAlign w:val="center"/>
            <w:hideMark/>
          </w:tcPr>
          <w:p w14:paraId="53DFC073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Secure leadership buy-in &amp; allocate budget</w:t>
            </w:r>
          </w:p>
        </w:tc>
        <w:tc>
          <w:tcPr>
            <w:tcW w:w="0" w:type="auto"/>
            <w:vAlign w:val="center"/>
            <w:hideMark/>
          </w:tcPr>
          <w:p w14:paraId="49E6EEA4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Month 1</w:t>
            </w:r>
          </w:p>
        </w:tc>
      </w:tr>
      <w:tr w:rsidR="00A24AA8" w:rsidRPr="00A24AA8" w14:paraId="11BF0B08" w14:textId="77777777" w:rsidTr="00A24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88136A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2</w:t>
            </w:r>
          </w:p>
        </w:tc>
        <w:tc>
          <w:tcPr>
            <w:tcW w:w="0" w:type="auto"/>
            <w:vAlign w:val="center"/>
            <w:hideMark/>
          </w:tcPr>
          <w:p w14:paraId="655D7B68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Develop training content &amp; resources</w:t>
            </w:r>
          </w:p>
        </w:tc>
        <w:tc>
          <w:tcPr>
            <w:tcW w:w="0" w:type="auto"/>
            <w:vAlign w:val="center"/>
            <w:hideMark/>
          </w:tcPr>
          <w:p w14:paraId="4E5443EF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Month 2-3</w:t>
            </w:r>
          </w:p>
        </w:tc>
      </w:tr>
      <w:tr w:rsidR="00A24AA8" w:rsidRPr="00A24AA8" w14:paraId="2DB9399D" w14:textId="77777777" w:rsidTr="00A24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6F843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3</w:t>
            </w:r>
          </w:p>
        </w:tc>
        <w:tc>
          <w:tcPr>
            <w:tcW w:w="0" w:type="auto"/>
            <w:vAlign w:val="center"/>
            <w:hideMark/>
          </w:tcPr>
          <w:p w14:paraId="313F11AF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Pilot training program with a test group</w:t>
            </w:r>
          </w:p>
        </w:tc>
        <w:tc>
          <w:tcPr>
            <w:tcW w:w="0" w:type="auto"/>
            <w:vAlign w:val="center"/>
            <w:hideMark/>
          </w:tcPr>
          <w:p w14:paraId="5B963D44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Month 4</w:t>
            </w:r>
          </w:p>
        </w:tc>
      </w:tr>
      <w:tr w:rsidR="00A24AA8" w:rsidRPr="00A24AA8" w14:paraId="50087511" w14:textId="77777777" w:rsidTr="00A24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402B2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4</w:t>
            </w:r>
          </w:p>
        </w:tc>
        <w:tc>
          <w:tcPr>
            <w:tcW w:w="0" w:type="auto"/>
            <w:vAlign w:val="center"/>
            <w:hideMark/>
          </w:tcPr>
          <w:p w14:paraId="07482528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Full company-wide rollout</w:t>
            </w:r>
          </w:p>
        </w:tc>
        <w:tc>
          <w:tcPr>
            <w:tcW w:w="0" w:type="auto"/>
            <w:vAlign w:val="center"/>
            <w:hideMark/>
          </w:tcPr>
          <w:p w14:paraId="75C635BC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Month 5-6</w:t>
            </w:r>
          </w:p>
        </w:tc>
      </w:tr>
      <w:tr w:rsidR="00A24AA8" w:rsidRPr="00A24AA8" w14:paraId="68B92C77" w14:textId="77777777" w:rsidTr="00A24AA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FEC1B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b/>
                <w:bCs/>
                <w:kern w:val="0"/>
                <w14:ligatures w14:val="none"/>
              </w:rPr>
              <w:t>Phase 5</w:t>
            </w:r>
          </w:p>
        </w:tc>
        <w:tc>
          <w:tcPr>
            <w:tcW w:w="0" w:type="auto"/>
            <w:vAlign w:val="center"/>
            <w:hideMark/>
          </w:tcPr>
          <w:p w14:paraId="1991CD55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Monitor, assess, and refine training effectiveness</w:t>
            </w:r>
          </w:p>
        </w:tc>
        <w:tc>
          <w:tcPr>
            <w:tcW w:w="0" w:type="auto"/>
            <w:vAlign w:val="center"/>
            <w:hideMark/>
          </w:tcPr>
          <w:p w14:paraId="097F0395" w14:textId="77777777" w:rsidR="00A24AA8" w:rsidRPr="00A24AA8" w:rsidRDefault="00A24AA8" w:rsidP="00A24AA8">
            <w:pPr>
              <w:rPr>
                <w:rFonts w:eastAsia="Times New Roman" w:cs="Times New Roman"/>
                <w:kern w:val="0"/>
                <w14:ligatures w14:val="none"/>
              </w:rPr>
            </w:pPr>
            <w:r w:rsidRPr="00A24AA8">
              <w:rPr>
                <w:rFonts w:eastAsia="Times New Roman" w:cs="Times New Roman"/>
                <w:kern w:val="0"/>
                <w14:ligatures w14:val="none"/>
              </w:rPr>
              <w:t>Ongoing</w:t>
            </w:r>
          </w:p>
        </w:tc>
      </w:tr>
    </w:tbl>
    <w:p w14:paraId="22EBBA0F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105C2DEB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84D8958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VI. Key Metrics &amp; Success Indicators</w:t>
      </w:r>
    </w:p>
    <w:p w14:paraId="619AE223" w14:textId="77777777" w:rsidR="00A24AA8" w:rsidRPr="00A24AA8" w:rsidRDefault="00A24AA8" w:rsidP="00A24AA8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t>To measure the effectiveness of this initiative, we will track:</w:t>
      </w:r>
    </w:p>
    <w:p w14:paraId="0DE24B82" w14:textId="77777777" w:rsidR="00A24AA8" w:rsidRPr="00A24AA8" w:rsidRDefault="00A24AA8" w:rsidP="00A24AA8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Pre- &amp; Post-Training Surveys</w:t>
      </w:r>
      <w:r w:rsidRPr="00A24AA8">
        <w:rPr>
          <w:rFonts w:eastAsia="Times New Roman" w:cs="Times New Roman"/>
          <w:kern w:val="0"/>
          <w14:ligatures w14:val="none"/>
        </w:rPr>
        <w:t xml:space="preserve"> – Employee awareness and attitude changes.</w:t>
      </w:r>
    </w:p>
    <w:p w14:paraId="3D777831" w14:textId="77777777" w:rsidR="00A24AA8" w:rsidRPr="00A24AA8" w:rsidRDefault="00A24AA8" w:rsidP="00A24AA8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HR Analytics</w:t>
      </w:r>
      <w:r w:rsidRPr="00A24AA8">
        <w:rPr>
          <w:rFonts w:eastAsia="Times New Roman" w:cs="Times New Roman"/>
          <w:kern w:val="0"/>
          <w14:ligatures w14:val="none"/>
        </w:rPr>
        <w:t xml:space="preserve"> – Changes in hiring, promotions, and retention rates.</w:t>
      </w:r>
    </w:p>
    <w:p w14:paraId="2B4AD1F5" w14:textId="77777777" w:rsidR="00A24AA8" w:rsidRPr="00A24AA8" w:rsidRDefault="00A24AA8" w:rsidP="00A24AA8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Incident Reports &amp; Resolutions</w:t>
      </w:r>
      <w:r w:rsidRPr="00A24AA8">
        <w:rPr>
          <w:rFonts w:eastAsia="Times New Roman" w:cs="Times New Roman"/>
          <w:kern w:val="0"/>
          <w14:ligatures w14:val="none"/>
        </w:rPr>
        <w:t xml:space="preserve"> – Reduction in discrimination complaints.</w:t>
      </w:r>
    </w:p>
    <w:p w14:paraId="70657BE4" w14:textId="77777777" w:rsidR="00A24AA8" w:rsidRPr="00A24AA8" w:rsidRDefault="00A24AA8" w:rsidP="00A24AA8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Employee Engagement Scores</w:t>
      </w:r>
      <w:r w:rsidRPr="00A24AA8">
        <w:rPr>
          <w:rFonts w:eastAsia="Times New Roman" w:cs="Times New Roman"/>
          <w:kern w:val="0"/>
          <w14:ligatures w14:val="none"/>
        </w:rPr>
        <w:t xml:space="preserve"> – Improvement in workplace inclusivity ratings.</w:t>
      </w:r>
    </w:p>
    <w:p w14:paraId="004EDC82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3B5A53F5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C6E124F" w14:textId="77777777" w:rsidR="00A24AA8" w:rsidRPr="00A24AA8" w:rsidRDefault="00A24AA8" w:rsidP="00A24AA8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A24AA8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VII. Call to Action &amp; Next Steps</w:t>
      </w:r>
    </w:p>
    <w:p w14:paraId="55C14B8C" w14:textId="77777777" w:rsidR="00A24AA8" w:rsidRPr="00A24AA8" w:rsidRDefault="00A24AA8" w:rsidP="00A24AA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Gain Leadership Approval &amp; Commitment</w:t>
      </w:r>
    </w:p>
    <w:p w14:paraId="737C22D5" w14:textId="77777777" w:rsidR="00A24AA8" w:rsidRPr="00A24AA8" w:rsidRDefault="00A24AA8" w:rsidP="00A24AA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Assign Training Implementation Team</w:t>
      </w:r>
    </w:p>
    <w:p w14:paraId="7C513192" w14:textId="77777777" w:rsidR="00A24AA8" w:rsidRPr="00A24AA8" w:rsidRDefault="00A24AA8" w:rsidP="00A24AA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Develop &amp; Execute the Training Plan</w:t>
      </w:r>
    </w:p>
    <w:p w14:paraId="51E7B954" w14:textId="77777777" w:rsidR="00A24AA8" w:rsidRPr="00A24AA8" w:rsidRDefault="00A24AA8" w:rsidP="00A24AA8">
      <w:pPr>
        <w:numPr>
          <w:ilvl w:val="0"/>
          <w:numId w:val="8"/>
        </w:num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b/>
          <w:bCs/>
          <w:kern w:val="0"/>
          <w14:ligatures w14:val="none"/>
        </w:rPr>
        <w:t>Monitor Progress &amp; Adjust as Needed</w:t>
      </w:r>
    </w:p>
    <w:p w14:paraId="41BDBF21" w14:textId="77777777" w:rsidR="00A24AA8" w:rsidRPr="00A24AA8" w:rsidRDefault="00A24AA8" w:rsidP="00A24AA8">
      <w:pPr>
        <w:spacing w:before="100" w:beforeAutospacing="1" w:after="100" w:afterAutospacing="1"/>
        <w:rPr>
          <w:rFonts w:eastAsia="Times New Roman" w:cs="Times New Roman"/>
          <w:kern w:val="0"/>
          <w14:ligatures w14:val="none"/>
        </w:rPr>
      </w:pPr>
      <w:r w:rsidRPr="00A24AA8">
        <w:rPr>
          <w:rFonts w:eastAsia="Times New Roman" w:cs="Times New Roman"/>
          <w:kern w:val="0"/>
          <w14:ligatures w14:val="none"/>
        </w:rPr>
        <w:lastRenderedPageBreak/>
        <w:t>By investing in this initiative, we ensure compliance with Title VII, foster an inclusive and high-performing workplace, and strengthen our company’s reputation and success in the industry.</w:t>
      </w:r>
    </w:p>
    <w:p w14:paraId="275A393F" w14:textId="77777777" w:rsidR="00A24AA8" w:rsidRPr="00A24AA8" w:rsidRDefault="00A61E6B" w:rsidP="00A24AA8">
      <w:pPr>
        <w:rPr>
          <w:rFonts w:eastAsia="Times New Roman" w:cs="Times New Roman"/>
          <w:kern w:val="0"/>
          <w14:ligatures w14:val="none"/>
        </w:rPr>
      </w:pPr>
      <w:r w:rsidRPr="00F07B72">
        <w:rPr>
          <w:rFonts w:eastAsia="Times New Roman" w:cs="Times New Roman"/>
          <w:noProof/>
          <w:kern w:val="0"/>
        </w:rPr>
        <w:pict w14:anchorId="1353B1B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C6614A1" w14:textId="77777777" w:rsidR="00FB4CD9" w:rsidRDefault="00FB4CD9"/>
    <w:sectPr w:rsidR="00FB4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7060B"/>
    <w:multiLevelType w:val="multilevel"/>
    <w:tmpl w:val="E2C2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192E1F"/>
    <w:multiLevelType w:val="multilevel"/>
    <w:tmpl w:val="32A8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B7801"/>
    <w:multiLevelType w:val="multilevel"/>
    <w:tmpl w:val="24287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986F56"/>
    <w:multiLevelType w:val="multilevel"/>
    <w:tmpl w:val="FAF65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9C047E"/>
    <w:multiLevelType w:val="multilevel"/>
    <w:tmpl w:val="F96A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B85595"/>
    <w:multiLevelType w:val="multilevel"/>
    <w:tmpl w:val="F5FEA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6605E1"/>
    <w:multiLevelType w:val="multilevel"/>
    <w:tmpl w:val="7212B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97448C"/>
    <w:multiLevelType w:val="multilevel"/>
    <w:tmpl w:val="F626B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044021">
    <w:abstractNumId w:val="7"/>
  </w:num>
  <w:num w:numId="2" w16cid:durableId="212472904">
    <w:abstractNumId w:val="6"/>
  </w:num>
  <w:num w:numId="3" w16cid:durableId="540485699">
    <w:abstractNumId w:val="2"/>
  </w:num>
  <w:num w:numId="4" w16cid:durableId="564029405">
    <w:abstractNumId w:val="4"/>
  </w:num>
  <w:num w:numId="5" w16cid:durableId="1780294262">
    <w:abstractNumId w:val="3"/>
  </w:num>
  <w:num w:numId="6" w16cid:durableId="1882356865">
    <w:abstractNumId w:val="1"/>
  </w:num>
  <w:num w:numId="7" w16cid:durableId="48845324">
    <w:abstractNumId w:val="0"/>
  </w:num>
  <w:num w:numId="8" w16cid:durableId="2167461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AA8"/>
    <w:rsid w:val="001113CD"/>
    <w:rsid w:val="0031004F"/>
    <w:rsid w:val="006B2F27"/>
    <w:rsid w:val="00754C14"/>
    <w:rsid w:val="00840862"/>
    <w:rsid w:val="00A24AA8"/>
    <w:rsid w:val="00A61E6B"/>
    <w:rsid w:val="00B85837"/>
    <w:rsid w:val="00E91D1D"/>
    <w:rsid w:val="00F07B72"/>
    <w:rsid w:val="00FB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9D384"/>
  <w15:chartTrackingRefBased/>
  <w15:docId w15:val="{F8975B66-A458-9543-8CC1-5D649228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4A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4A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4A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4A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4A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4A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4A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4A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4A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24A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24A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4A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4A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4A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4A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4A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4A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4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A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4A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4A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4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4A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4A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A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A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4AA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24AA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24A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1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Bradbury</dc:creator>
  <cp:keywords/>
  <dc:description/>
  <cp:lastModifiedBy>Camille Bradbury</cp:lastModifiedBy>
  <cp:revision>1</cp:revision>
  <dcterms:created xsi:type="dcterms:W3CDTF">2025-03-15T20:13:00Z</dcterms:created>
  <dcterms:modified xsi:type="dcterms:W3CDTF">2025-03-19T17:16:00Z</dcterms:modified>
</cp:coreProperties>
</file>